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2F3A02" w:rsidRPr="002F3A02" w14:paraId="07A9AB39" w14:textId="77777777" w:rsidTr="002D04ED">
        <w:trPr>
          <w:jc w:val="center"/>
        </w:trPr>
        <w:tc>
          <w:tcPr>
            <w:tcW w:w="9322" w:type="dxa"/>
            <w:shd w:val="clear" w:color="auto" w:fill="F2F2F2"/>
          </w:tcPr>
          <w:p w14:paraId="48BFC3DF" w14:textId="77777777" w:rsidR="002F3A02" w:rsidRPr="002F3A02" w:rsidRDefault="002F3A02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656794">
              <w:rPr>
                <w:rFonts w:ascii="Arial Narrow" w:hAnsi="Arial Narrow"/>
                <w:lang w:val="ru-RU"/>
              </w:rPr>
              <w:t>Стандард 2: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 xml:space="preserve"> Организација високошколске установе</w:t>
            </w:r>
          </w:p>
          <w:p w14:paraId="7FCA1C39" w14:textId="77777777" w:rsidR="002F3A02" w:rsidRPr="002F3A02" w:rsidRDefault="002F3A02" w:rsidP="002D04ED">
            <w:pPr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Оснивач високошколске установе има привремене органе који омогућују извршавање потребних активности неопходних за добијање дозволе за обављање делатности. Организациона структура и систем управљања обезбеђују постизање циљева и остваривање задатака високошколске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</w:rPr>
              <w:t>установе.</w:t>
            </w:r>
          </w:p>
        </w:tc>
      </w:tr>
      <w:tr w:rsidR="002F3A02" w:rsidRPr="002F3A02" w14:paraId="41F5A62D" w14:textId="77777777" w:rsidTr="002D04ED">
        <w:trPr>
          <w:trHeight w:val="9481"/>
          <w:jc w:val="center"/>
        </w:trPr>
        <w:tc>
          <w:tcPr>
            <w:tcW w:w="9322" w:type="dxa"/>
          </w:tcPr>
          <w:p w14:paraId="131A6E92" w14:textId="1F2AFB78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Организациона структура и систем управљања Високе школе академских студија</w:t>
            </w:r>
            <w:r w:rsidR="00D16ED4">
              <w:rPr>
                <w:rFonts w:ascii="Arial Narrow" w:hAnsi="Arial Narrow"/>
                <w:b w:val="0"/>
                <w:bCs w:val="0"/>
                <w:lang w:val="en-US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</w:rPr>
              <w:t>„Амадеус“ обезбеђују остваривање задатака и постизање циљева високошколске установе, а уједно су прилагођени обиму и структури делатности коју Висока школа „Амадеус“ обавља.</w:t>
            </w:r>
          </w:p>
          <w:p w14:paraId="781087BD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Организација Високе школе академских студија „Амадеус“ примерена је карактеру и врсти делатности и усклађена је са потребама рада. Организација се поставља према процесима рада на Високој школи „Амадеус“у са намером да се у оквиру дефинисане делатности постигну најбољи циљеви. Образовна и научно</w:t>
            </w:r>
            <w:r w:rsidRPr="002F3A02">
              <w:rPr>
                <w:rFonts w:ascii="Arial Narrow" w:hAnsi="Arial Narrow"/>
                <w:b w:val="0"/>
                <w:bCs w:val="0"/>
              </w:rPr>
              <w:sym w:font="Symbol" w:char="F02D"/>
            </w:r>
            <w:r w:rsidRPr="002F3A02">
              <w:rPr>
                <w:rFonts w:ascii="Arial Narrow" w:hAnsi="Arial Narrow"/>
                <w:b w:val="0"/>
                <w:bCs w:val="0"/>
              </w:rPr>
              <w:t>истраживачка делатност су међусобно повезане делатности где се у оквиру јединственог процеса рада наставници и сарадници истовремено баве образовним и научно</w:t>
            </w:r>
            <w:r w:rsidRPr="002F3A02">
              <w:rPr>
                <w:rFonts w:ascii="Arial Narrow" w:hAnsi="Arial Narrow"/>
                <w:b w:val="0"/>
                <w:bCs w:val="0"/>
              </w:rPr>
              <w:sym w:font="Symbol" w:char="F02D"/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истраживачким радом. </w:t>
            </w:r>
          </w:p>
          <w:p w14:paraId="2D346069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У циљу ефикаснијег функционисања и координације рада о извршењу пословне политике Високе школе академских студија„Амадеус“ организују се и систематизују следеће организационе јединице: Н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аставно-научну јединицу коју чини наставно особље;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 Н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енаставну јединицу коју чини особље које обавља стручне, административне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и техничке послове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 (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служба за опште и кадровске послове;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служба за библиотечку, информатичку и издавачку делатност;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служба за материјално - финансијске и рачуноводствене послове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; 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служба за комерцијалне послове;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студентска служба;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служба за послове обезбеђења и одржавања</w:t>
            </w:r>
            <w:r w:rsidRPr="002F3A02">
              <w:rPr>
                <w:rFonts w:ascii="Arial Narrow" w:hAnsi="Arial Narrow"/>
                <w:b w:val="0"/>
                <w:bCs w:val="0"/>
              </w:rPr>
              <w:t>)</w:t>
            </w: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.</w:t>
            </w:r>
          </w:p>
          <w:p w14:paraId="4D6374A2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У наведеним организационим јединицама утврђује се назив послова као организационо технолошке целине у оквиру које једно или више лица константно обавља послове одређеног садржаја ради остваривања циљева организационе јединице чији је елемент то радно место.</w:t>
            </w:r>
          </w:p>
          <w:p w14:paraId="7B7E588B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Надлежност и одговорност органа управљања и органа пословођења, стручних органа и студентског парламента у организацији и управљању Високе школе академских студија„Амадеус“ утврђени су Статутом у складу са законом.</w:t>
            </w:r>
          </w:p>
          <w:p w14:paraId="3917C9B4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 xml:space="preserve">Орган управљања </w:t>
            </w:r>
            <w:r w:rsidRPr="002F3A02">
              <w:rPr>
                <w:rFonts w:ascii="Arial Narrow" w:hAnsi="Arial Narrow"/>
                <w:b w:val="0"/>
                <w:bCs w:val="0"/>
                <w:i/>
              </w:rPr>
              <w:t xml:space="preserve">Високе школе академских студија „Амадеус“ом </w:t>
            </w:r>
            <w:r w:rsidRPr="002F3A02">
              <w:rPr>
                <w:rFonts w:ascii="Arial Narrow" w:hAnsi="Arial Narrow"/>
                <w:b w:val="0"/>
                <w:bCs w:val="0"/>
              </w:rPr>
              <w:t>је привремени Савет Високе школе академских студија „Амадеус“.</w:t>
            </w:r>
          </w:p>
          <w:p w14:paraId="60A1C5F2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 xml:space="preserve">Орган пословођења је в.д. Директор Високе школе академских студија „Амадеус“.  </w:t>
            </w:r>
          </w:p>
          <w:p w14:paraId="3933C0A9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 xml:space="preserve">Директор  представља Високу школу академских студија „Амадеус“ у складу са Законом о високом образовању и надлежностима утврђеним Статутом Високе школе академских студија„Амадеус“.  </w:t>
            </w:r>
          </w:p>
          <w:p w14:paraId="1172F4E1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Стручни орган Високе школе академских студија „Амадеус“ је НВ у чијој надлежности је одлучивање о питањима за реализацију наставе, обезбеђење квалитета наставе, реформу студијског програма, анализу и ефикасности студирања, утрвђивање ЕСПБ, научно-истраживачки рад</w:t>
            </w:r>
            <w:r w:rsidRPr="002F3A02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  <w:r w:rsidRPr="002F3A02">
              <w:rPr>
                <w:rFonts w:ascii="Arial Narrow" w:hAnsi="Arial Narrow"/>
                <w:b w:val="0"/>
                <w:bCs w:val="0"/>
              </w:rPr>
              <w:t xml:space="preserve">идр. </w:t>
            </w:r>
          </w:p>
          <w:p w14:paraId="02291B48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>Директор Високе школе академских студија „Амадеус“ је председник НВ по функцији.</w:t>
            </w:r>
          </w:p>
          <w:p w14:paraId="7E084DD4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 xml:space="preserve">Студентски парламент је орган путем кога студенти остварују своја права и штите своје интересе на Високе школе академских студија „Амадеус“. </w:t>
            </w:r>
          </w:p>
          <w:p w14:paraId="1F9EB275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 xml:space="preserve">Студентски парламент перманентно анализира услове студирања и студентске активности и даје предлоге за унапређење студија. </w:t>
            </w:r>
          </w:p>
          <w:p w14:paraId="26310766" w14:textId="77777777" w:rsidR="002F3A02" w:rsidRPr="002F3A02" w:rsidRDefault="002F3A02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2F3A02">
              <w:rPr>
                <w:rFonts w:ascii="Arial Narrow" w:hAnsi="Arial Narrow"/>
                <w:b w:val="0"/>
                <w:bCs w:val="0"/>
              </w:rPr>
              <w:t xml:space="preserve">Студентски парламент бира и разрешава представнике студената у органе управљања и стручне органе Високе школе академских студија „Амадеус“. </w:t>
            </w:r>
          </w:p>
        </w:tc>
      </w:tr>
      <w:tr w:rsidR="002F3A02" w:rsidRPr="002F3A02" w14:paraId="08BAC3B4" w14:textId="77777777" w:rsidTr="002D04ED">
        <w:trPr>
          <w:trHeight w:val="842"/>
          <w:jc w:val="center"/>
        </w:trPr>
        <w:tc>
          <w:tcPr>
            <w:tcW w:w="9322" w:type="dxa"/>
            <w:shd w:val="clear" w:color="auto" w:fill="F2F2F2"/>
          </w:tcPr>
          <w:p w14:paraId="07F4E930" w14:textId="77777777" w:rsidR="002F3A02" w:rsidRPr="002F3A02" w:rsidRDefault="002F3A02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2F3A02">
              <w:rPr>
                <w:rFonts w:ascii="Arial Narrow" w:hAnsi="Arial Narrow"/>
                <w:b w:val="0"/>
                <w:bCs w:val="0"/>
                <w:lang w:val="ru-RU"/>
              </w:rPr>
              <w:t>Прилози за стандард 2:</w:t>
            </w:r>
          </w:p>
          <w:p w14:paraId="59A28BEF" w14:textId="77777777" w:rsidR="002F3A02" w:rsidRPr="002F3A02" w:rsidRDefault="00656794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5" w:history="1">
              <w:r w:rsidR="002F3A02" w:rsidRPr="002F3A02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Прилог 2.1.</w:t>
              </w:r>
            </w:hyperlink>
            <w:r w:rsidR="002F3A02" w:rsidRPr="002F3A02">
              <w:rPr>
                <w:rFonts w:ascii="Arial Narrow" w:hAnsi="Arial Narrow"/>
                <w:b w:val="0"/>
                <w:bCs w:val="0"/>
                <w:lang w:val="ru-RU"/>
              </w:rPr>
              <w:t xml:space="preserve"> Привремени Статут установе</w:t>
            </w:r>
          </w:p>
          <w:p w14:paraId="4BDF4430" w14:textId="77777777" w:rsidR="002F3A02" w:rsidRPr="002F3A02" w:rsidRDefault="00656794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hyperlink r:id="rId6" w:history="1">
              <w:r w:rsidR="002F3A02" w:rsidRPr="002F3A02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Прилог 2.2.</w:t>
              </w:r>
            </w:hyperlink>
            <w:r w:rsidR="002F3A02" w:rsidRPr="002F3A02">
              <w:rPr>
                <w:rFonts w:ascii="Arial Narrow" w:hAnsi="Arial Narrow"/>
                <w:b w:val="0"/>
                <w:bCs w:val="0"/>
                <w:lang w:val="ru-RU"/>
              </w:rPr>
              <w:t xml:space="preserve"> Привремени Акт о организацији</w:t>
            </w:r>
            <w:r w:rsidR="002F3A02" w:rsidRPr="002F3A02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</w:p>
          <w:p w14:paraId="4F47C2A6" w14:textId="77777777" w:rsidR="002F3A02" w:rsidRPr="002F3A02" w:rsidRDefault="00656794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7" w:history="1">
              <w:r w:rsidR="002F3A02" w:rsidRPr="002F3A02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Прилог 2.3.</w:t>
              </w:r>
            </w:hyperlink>
            <w:r w:rsidR="002F3A02" w:rsidRPr="002F3A02">
              <w:rPr>
                <w:rFonts w:ascii="Arial Narrow" w:hAnsi="Arial Narrow"/>
                <w:b w:val="0"/>
                <w:bCs w:val="0"/>
                <w:lang w:val="ru-RU"/>
              </w:rPr>
              <w:t xml:space="preserve"> Списак чланова привременог Савета високошколске установе.</w:t>
            </w:r>
          </w:p>
          <w:p w14:paraId="0F0332A6" w14:textId="77777777" w:rsidR="002F3A02" w:rsidRPr="002F3A02" w:rsidRDefault="00656794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8" w:history="1">
              <w:r w:rsidR="002F3A02" w:rsidRPr="002F3A02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Прилог 2.4.</w:t>
              </w:r>
            </w:hyperlink>
            <w:r w:rsidR="002F3A02" w:rsidRPr="002F3A02">
              <w:rPr>
                <w:rFonts w:ascii="Arial Narrow" w:hAnsi="Arial Narrow"/>
                <w:b w:val="0"/>
                <w:bCs w:val="0"/>
                <w:lang w:val="ru-RU"/>
              </w:rPr>
              <w:t xml:space="preserve"> Одлука привременог Савета високошколске установе о именовању вршиоца дужности органа пословођења</w:t>
            </w:r>
            <w:r w:rsidR="002F3A02" w:rsidRPr="002F3A02">
              <w:rPr>
                <w:rFonts w:ascii="Arial Narrow" w:hAnsi="Arial Narrow"/>
                <w:b w:val="0"/>
                <w:bCs w:val="0"/>
                <w:lang w:val="sr-Cyrl-RS"/>
              </w:rPr>
              <w:t>.</w:t>
            </w:r>
          </w:p>
        </w:tc>
      </w:tr>
    </w:tbl>
    <w:p w14:paraId="4EBB221A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7202C4"/>
    <w:multiLevelType w:val="hybridMultilevel"/>
    <w:tmpl w:val="020614F0"/>
    <w:lvl w:ilvl="0" w:tplc="FDC63A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20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7442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2F3A02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56794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16ED4"/>
    <w:rsid w:val="00D223B9"/>
    <w:rsid w:val="00D347B2"/>
    <w:rsid w:val="00D363D4"/>
    <w:rsid w:val="00D42BA2"/>
    <w:rsid w:val="00D5679B"/>
    <w:rsid w:val="00D83498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01C8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0D94"/>
  <w15:chartTrackingRefBased/>
  <w15:docId w15:val="{CF1876E4-7359-4EBC-8DD9-9001135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C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01C8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E801C8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E801C8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.%20Prilozi/Prilog%202.4.%20Odluka%20privremenog%20Saveta%20VU.docx" TargetMode="External"/><Relationship Id="rId3" Type="http://schemas.openxmlformats.org/officeDocument/2006/relationships/settings" Target="settings.xml"/><Relationship Id="rId7" Type="http://schemas.openxmlformats.org/officeDocument/2006/relationships/hyperlink" Target="../2.%20Prilozi/Prilog%202.3.%20Spisak%20c&#780;lanova%20privremenog%20Saveta%20V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2.%20Prilozi/Prilog%202.2.%20Privremeni%20akt%20o%20organizaciji.docx" TargetMode="External"/><Relationship Id="rId5" Type="http://schemas.openxmlformats.org/officeDocument/2006/relationships/hyperlink" Target="../2.%20Prilozi/Prilog%202.1.%20Privremeni%20Statut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5</cp:revision>
  <dcterms:created xsi:type="dcterms:W3CDTF">2025-08-01T08:08:00Z</dcterms:created>
  <dcterms:modified xsi:type="dcterms:W3CDTF">2025-11-18T12:56:00Z</dcterms:modified>
</cp:coreProperties>
</file>